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color w:val="000000"/>
        </w:rPr>
      </w:pPr>
      <w:bookmarkStart w:id="1" w:name="_GoBack"/>
      <w:bookmarkEnd w:id="1"/>
    </w:p>
    <w:tbl>
      <w:tblPr>
        <w:tblStyle w:val="Style_2"/>
        <w:tblInd w:type="dxa" w:w="11"/>
        <w:tblLayout w:type="fixed"/>
      </w:tblPr>
      <w:tblGrid>
        <w:gridCol w:w="551"/>
        <w:gridCol w:w="3124"/>
        <w:gridCol w:w="1630"/>
        <w:gridCol w:w="1132"/>
        <w:gridCol w:w="2550"/>
        <w:gridCol w:w="1418"/>
        <w:gridCol w:w="1399"/>
        <w:gridCol w:w="1193"/>
        <w:gridCol w:w="1181"/>
        <w:gridCol w:w="222"/>
      </w:tblGrid>
      <w:tr>
        <w:trPr>
          <w:trHeight w:hRule="atLeast" w:val="704"/>
        </w:trPr>
        <w:tc>
          <w:tcPr>
            <w:tcW w:type="dxa" w:w="14178"/>
            <w:gridSpan w:val="9"/>
            <w:tcBorders>
              <w:top w:sz="4" w:val="nil"/>
              <w:left w:sz="4" w:val="nil"/>
              <w:right w:sz="4" w:val="nil"/>
            </w:tcBorders>
          </w:tcPr>
          <w:p w14:paraId="02000000">
            <w:pPr>
              <w:spacing w:after="0" w:line="240" w:lineRule="auto"/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Извещение</w:t>
            </w:r>
          </w:p>
          <w:p w14:paraId="0300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«Комитет по управлению муниципальным имуществом администрации муниципального образования городского округа «Сыктывкар» информирует о проведен</w:t>
            </w:r>
            <w:r>
              <w:rPr>
                <w:rFonts w:ascii="Times New Roman" w:hAnsi="Times New Roman"/>
                <w:color w:val="000000"/>
                <w:sz w:val="20"/>
              </w:rPr>
              <w:t>ии ау</w:t>
            </w:r>
            <w:r>
              <w:rPr>
                <w:rFonts w:ascii="Times New Roman" w:hAnsi="Times New Roman"/>
                <w:color w:val="000000"/>
                <w:sz w:val="20"/>
              </w:rPr>
              <w:t>кциона на право заключения договора аренды недвижимого имущества МО ГО «Сыктывкар» согласно нижеприведенной таблице:</w:t>
            </w:r>
          </w:p>
          <w:p w14:paraId="04000000">
            <w:pPr>
              <w:spacing w:after="0" w:line="240" w:lineRule="auto"/>
              <w:ind w:firstLine="709" w:left="0"/>
              <w:jc w:val="both"/>
              <w:rPr>
                <w:color w:val="000000"/>
              </w:rPr>
            </w:pPr>
          </w:p>
        </w:tc>
        <w:tc>
          <w:tcPr>
            <w:tcW w:type="dxa" w:w="22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5000000">
            <w:pPr>
              <w:rPr>
                <w:color w:val="000000"/>
              </w:rPr>
            </w:pPr>
          </w:p>
        </w:tc>
      </w:tr>
      <w:tr>
        <w:trPr>
          <w:trHeight w:hRule="atLeast" w:val="1616"/>
        </w:trPr>
        <w:tc>
          <w:tcPr>
            <w:tcW w:type="dxa" w:w="551"/>
          </w:tcPr>
          <w:p w14:paraId="06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№</w:t>
            </w:r>
          </w:p>
        </w:tc>
        <w:tc>
          <w:tcPr>
            <w:tcW w:type="dxa" w:w="3124"/>
          </w:tcPr>
          <w:p w14:paraId="07000000">
            <w:pPr>
              <w:spacing w:after="0" w:line="240" w:lineRule="auto"/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Наименование муниципального имущества, характеристики</w:t>
            </w:r>
          </w:p>
        </w:tc>
        <w:tc>
          <w:tcPr>
            <w:tcW w:type="dxa" w:w="1630"/>
          </w:tcPr>
          <w:p w14:paraId="08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Целевое назначение</w:t>
            </w:r>
          </w:p>
        </w:tc>
        <w:tc>
          <w:tcPr>
            <w:tcW w:type="dxa" w:w="1132"/>
          </w:tcPr>
          <w:p w14:paraId="09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Срок договора аренды</w:t>
            </w:r>
          </w:p>
        </w:tc>
        <w:tc>
          <w:tcPr>
            <w:tcW w:type="dxa" w:w="2550"/>
          </w:tcPr>
          <w:p w14:paraId="0A000000">
            <w:pPr>
              <w:pStyle w:val="Style_3"/>
              <w:tabs>
                <w:tab w:leader="none" w:pos="709" w:val="left"/>
              </w:tabs>
              <w:spacing w:after="100" w:before="100" w:line="240" w:lineRule="auto"/>
              <w:ind w:firstLine="57" w:left="0" w:right="170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Письмо</w:t>
            </w:r>
            <w:r>
              <w:rPr>
                <w:b w:val="1"/>
                <w:color w:val="000000"/>
                <w:sz w:val="20"/>
              </w:rPr>
              <w:t xml:space="preserve"> Комитета по управлению муниципальным имуществом администрации МО ГО «Сыктывкар»</w:t>
            </w:r>
          </w:p>
          <w:p w14:paraId="0B000000">
            <w:pPr>
              <w:pStyle w:val="Style_3"/>
              <w:tabs>
                <w:tab w:leader="none" w:pos="709" w:val="left"/>
              </w:tabs>
              <w:spacing w:after="100" w:before="100" w:line="240" w:lineRule="auto"/>
              <w:ind w:firstLine="57" w:left="0" w:right="57"/>
              <w:contextualSpacing w:val="1"/>
              <w:jc w:val="center"/>
              <w:rPr>
                <w:color w:val="000000"/>
              </w:rPr>
            </w:pPr>
            <w:r>
              <w:rPr>
                <w:b w:val="1"/>
                <w:color w:val="000000"/>
                <w:sz w:val="20"/>
              </w:rPr>
              <w:t>на проведен</w:t>
            </w:r>
            <w:r>
              <w:rPr>
                <w:b w:val="1"/>
                <w:color w:val="000000"/>
                <w:sz w:val="20"/>
              </w:rPr>
              <w:t>ии ау</w:t>
            </w:r>
            <w:r>
              <w:rPr>
                <w:b w:val="1"/>
                <w:color w:val="000000"/>
                <w:sz w:val="20"/>
              </w:rPr>
              <w:t>кциона</w:t>
            </w:r>
          </w:p>
        </w:tc>
        <w:tc>
          <w:tcPr>
            <w:tcW w:type="dxa" w:w="1418"/>
          </w:tcPr>
          <w:p w14:paraId="0C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Сведения обо всех предыдущих аукционах по аренде имущества</w:t>
            </w:r>
          </w:p>
        </w:tc>
        <w:tc>
          <w:tcPr>
            <w:tcW w:type="dxa" w:w="1399"/>
          </w:tcPr>
          <w:p w14:paraId="0D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Начальная цена договора аренды в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год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, руб.</w:t>
            </w:r>
          </w:p>
          <w:p w14:paraId="0E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(без учета НДС)</w:t>
            </w:r>
          </w:p>
        </w:tc>
        <w:tc>
          <w:tcPr>
            <w:tcW w:type="dxa" w:w="1193"/>
          </w:tcPr>
          <w:p w14:paraId="0F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Шаг аукциона                  5 % от начальной цены, руб.</w:t>
            </w:r>
          </w:p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403"/>
            <w:gridSpan w:val="2"/>
          </w:tcPr>
          <w:p w14:paraId="11000000">
            <w:pPr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Размер задатка для участия в аукционе              10 % от начальной цены, руб.</w:t>
            </w:r>
          </w:p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1845"/>
        </w:trPr>
        <w:tc>
          <w:tcPr>
            <w:tcW w:type="dxa" w:w="551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6000000">
            <w:pPr>
              <w:spacing w:after="0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3124"/>
          </w:tcPr>
          <w:p w14:paraId="17000000">
            <w:pPr>
              <w:pStyle w:val="Style_3"/>
              <w:spacing w:after="280" w:before="280" w:line="240" w:lineRule="auto"/>
              <w:ind w:firstLine="113" w:left="57" w:right="113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Нежилое здание АЗС №2, площадью 24,7 </w:t>
            </w:r>
            <w:r>
              <w:rPr>
                <w:color w:val="000000"/>
                <w:sz w:val="20"/>
              </w:rPr>
              <w:t>кв</w:t>
            </w:r>
            <w:r>
              <w:rPr>
                <w:color w:val="000000"/>
                <w:sz w:val="20"/>
              </w:rPr>
              <w:t>.м</w:t>
            </w:r>
            <w:r>
              <w:rPr>
                <w:color w:val="000000"/>
                <w:sz w:val="20"/>
              </w:rPr>
              <w:t>, расположенное по адресу: Республика Коми, г. Сыктывкар, ул. Колхозная, д. 1/2, кадастровый номер 11:05:0107004:444</w:t>
            </w:r>
          </w:p>
        </w:tc>
        <w:tc>
          <w:tcPr>
            <w:tcW w:type="dxa" w:w="1630"/>
          </w:tcPr>
          <w:p w14:paraId="18000000">
            <w:pPr>
              <w:pStyle w:val="Style_3"/>
              <w:spacing w:line="240" w:lineRule="auto"/>
              <w:ind/>
              <w:jc w:val="center"/>
              <w:rPr>
                <w:color w:val="000000"/>
              </w:rPr>
            </w:pPr>
          </w:p>
          <w:p w14:paraId="19000000">
            <w:pPr>
              <w:pStyle w:val="Style_3"/>
              <w:spacing w:line="240" w:lineRule="auto"/>
              <w:ind/>
              <w:jc w:val="center"/>
              <w:rPr>
                <w:color w:val="000000"/>
              </w:rPr>
            </w:pPr>
          </w:p>
          <w:p w14:paraId="1A000000">
            <w:pPr>
              <w:pStyle w:val="Style_3"/>
              <w:spacing w:line="240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Общественное питание</w:t>
            </w:r>
          </w:p>
        </w:tc>
        <w:tc>
          <w:tcPr>
            <w:tcW w:type="dxa" w:w="1132"/>
          </w:tcPr>
          <w:p w14:paraId="1B000000">
            <w:pPr>
              <w:spacing w:after="0" w:line="240" w:lineRule="auto"/>
              <w:ind/>
              <w:jc w:val="center"/>
              <w:rPr>
                <w:color w:val="000000"/>
              </w:rPr>
            </w:pPr>
          </w:p>
          <w:p w14:paraId="1C000000">
            <w:pPr>
              <w:spacing w:after="0" w:line="240" w:lineRule="auto"/>
              <w:ind/>
              <w:jc w:val="center"/>
              <w:rPr>
                <w:color w:val="000000"/>
              </w:rPr>
            </w:pPr>
          </w:p>
          <w:p w14:paraId="1D000000">
            <w:pPr>
              <w:spacing w:after="0" w:line="240" w:lineRule="auto"/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 лет</w:t>
            </w:r>
          </w:p>
        </w:tc>
        <w:tc>
          <w:tcPr>
            <w:tcW w:type="dxa" w:w="2550"/>
          </w:tcPr>
          <w:p w14:paraId="1E000000">
            <w:pPr>
              <w:pStyle w:val="Style_3"/>
              <w:tabs>
                <w:tab w:leader="none" w:pos="163" w:val="left"/>
                <w:tab w:leader="none" w:pos="709" w:val="left"/>
              </w:tabs>
              <w:spacing w:after="100" w:before="100" w:line="240" w:lineRule="auto"/>
              <w:ind w:firstLine="113" w:left="170" w:right="170"/>
              <w:contextualSpacing w:val="1"/>
              <w:jc w:val="center"/>
            </w:pPr>
          </w:p>
          <w:p w14:paraId="1F000000">
            <w:pPr>
              <w:pStyle w:val="Style_3"/>
              <w:tabs>
                <w:tab w:leader="none" w:pos="163" w:val="left"/>
                <w:tab w:leader="none" w:pos="709" w:val="left"/>
              </w:tabs>
              <w:spacing w:after="100" w:before="100" w:line="240" w:lineRule="auto"/>
              <w:ind w:firstLine="113" w:left="170" w:right="170"/>
              <w:contextualSpacing w:val="1"/>
              <w:jc w:val="center"/>
            </w:pPr>
          </w:p>
          <w:p w14:paraId="20000000">
            <w:pPr>
              <w:pStyle w:val="Style_3"/>
              <w:tabs>
                <w:tab w:leader="none" w:pos="163" w:val="left"/>
                <w:tab w:leader="none" w:pos="709" w:val="left"/>
              </w:tabs>
              <w:spacing w:after="100" w:before="100" w:line="240" w:lineRule="auto"/>
              <w:ind w:firstLine="113" w:left="170" w:right="170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27.08.2026 №01-06/б/</w:t>
            </w:r>
            <w:r>
              <w:rPr>
                <w:color w:val="000000"/>
                <w:sz w:val="20"/>
              </w:rPr>
              <w:t>н</w:t>
            </w:r>
          </w:p>
        </w:tc>
        <w:tc>
          <w:tcPr>
            <w:tcW w:type="dxa" w:w="1418"/>
          </w:tcPr>
          <w:p w14:paraId="21000000">
            <w:pPr>
              <w:spacing w:after="0" w:line="240" w:lineRule="auto"/>
              <w:ind/>
              <w:jc w:val="center"/>
              <w:rPr>
                <w:color w:val="000000"/>
              </w:rPr>
            </w:pPr>
          </w:p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Новые торги</w:t>
            </w:r>
          </w:p>
        </w:tc>
        <w:tc>
          <w:tcPr>
            <w:tcW w:type="dxa" w:w="1399"/>
          </w:tcPr>
          <w:p w14:paraId="24000000">
            <w:pPr>
              <w:pStyle w:val="Style_3"/>
              <w:spacing w:after="280" w:before="280" w:line="240" w:lineRule="auto"/>
              <w:ind w:firstLine="0" w:left="170" w:right="113"/>
              <w:contextualSpacing w:val="1"/>
              <w:jc w:val="center"/>
              <w:rPr>
                <w:color w:val="000000"/>
                <w:sz w:val="20"/>
              </w:rPr>
            </w:pPr>
          </w:p>
          <w:p w14:paraId="25000000">
            <w:pPr>
              <w:pStyle w:val="Style_3"/>
              <w:spacing w:after="280" w:before="280" w:line="240" w:lineRule="auto"/>
              <w:ind w:firstLine="0" w:left="170" w:right="113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111 312,00</w:t>
            </w:r>
          </w:p>
        </w:tc>
        <w:tc>
          <w:tcPr>
            <w:tcW w:type="dxa" w:w="1193"/>
          </w:tcPr>
          <w:p w14:paraId="26000000">
            <w:pPr>
              <w:pStyle w:val="Style_3"/>
              <w:spacing w:after="280" w:before="280" w:line="240" w:lineRule="auto"/>
              <w:ind w:firstLine="283" w:left="-283" w:right="340"/>
              <w:contextualSpacing w:val="1"/>
              <w:jc w:val="center"/>
            </w:pPr>
          </w:p>
          <w:p w14:paraId="27000000">
            <w:pPr>
              <w:pStyle w:val="Style_3"/>
              <w:spacing w:after="280" w:before="280" w:line="240" w:lineRule="auto"/>
              <w:ind w:hanging="57" w:left="113"/>
              <w:contextualSpacing w:val="1"/>
              <w:jc w:val="center"/>
              <w:rPr>
                <w:color w:val="000000"/>
                <w:sz w:val="20"/>
              </w:rPr>
            </w:pPr>
          </w:p>
          <w:p w14:paraId="28000000">
            <w:pPr>
              <w:pStyle w:val="Style_3"/>
              <w:spacing w:after="280" w:before="280" w:line="240" w:lineRule="auto"/>
              <w:ind w:hanging="57" w:left="113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5 565,60</w:t>
            </w:r>
          </w:p>
        </w:tc>
        <w:tc>
          <w:tcPr>
            <w:tcW w:type="dxa" w:w="1403"/>
            <w:gridSpan w:val="2"/>
          </w:tcPr>
          <w:p w14:paraId="29000000">
            <w:pPr>
              <w:pStyle w:val="Style_3"/>
              <w:spacing w:after="280" w:before="280" w:line="240" w:lineRule="auto"/>
              <w:ind w:firstLine="283" w:left="-283" w:right="340"/>
              <w:contextualSpacing w:val="1"/>
              <w:jc w:val="center"/>
            </w:pPr>
          </w:p>
          <w:p w14:paraId="2A000000">
            <w:pPr>
              <w:pStyle w:val="Style_3"/>
              <w:spacing w:after="280" w:before="280" w:line="240" w:lineRule="auto"/>
              <w:ind w:hanging="113" w:left="170" w:right="57"/>
              <w:contextualSpacing w:val="1"/>
              <w:jc w:val="center"/>
              <w:rPr>
                <w:color w:val="000000"/>
                <w:sz w:val="20"/>
              </w:rPr>
            </w:pPr>
          </w:p>
          <w:p w14:paraId="2B000000">
            <w:pPr>
              <w:pStyle w:val="Style_3"/>
              <w:spacing w:after="280" w:before="280" w:line="240" w:lineRule="auto"/>
              <w:ind w:hanging="113" w:left="170" w:right="57"/>
              <w:contextualSpacing w:val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11 131,20</w:t>
            </w:r>
          </w:p>
        </w:tc>
      </w:tr>
      <w:tr>
        <w:trPr>
          <w:trHeight w:hRule="atLeast" w:val="5337"/>
        </w:trPr>
        <w:tc>
          <w:tcPr>
            <w:tcW w:type="dxa" w:w="14178"/>
            <w:gridSpan w:val="9"/>
            <w:tcBorders>
              <w:left w:sz="4" w:val="nil"/>
              <w:bottom w:sz="4" w:val="nil"/>
              <w:right w:sz="4" w:val="nil"/>
            </w:tcBorders>
          </w:tcPr>
          <w:p w14:paraId="2C000000">
            <w:pPr>
              <w:tabs>
                <w:tab w:leader="none" w:pos="70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  <w:p w14:paraId="2D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Дата проведения аукциона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: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 xml:space="preserve"> 19.10.2026 года в 09:00 (время московское).</w:t>
            </w:r>
          </w:p>
          <w:p w14:paraId="2E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Дата и время начала срока подачи заявок на участие в аукционе: 15.09.2026 года в 09:00 (время московское).</w:t>
            </w:r>
          </w:p>
          <w:p w14:paraId="2F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Дата и время окончания срока подачи заявок на участие в аукционе: 14.10.2026 года в 16:00 (время московское).</w:t>
            </w:r>
          </w:p>
          <w:p w14:paraId="30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Дата и время рассмотрения заявок на участие в аукционе: 16.10.2026 года в 09:00 (время московское).</w:t>
            </w:r>
          </w:p>
          <w:p w14:paraId="31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Место проведения аукциона: электронная площадка – универсальная торговая платформа АО «Сбербанк-АСТ» - http://utp.sberbank-ast.ru (торговая секция «Приватизация, аренда и продажа прав»).</w:t>
            </w:r>
          </w:p>
          <w:p w14:paraId="32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 xml:space="preserve">Организатор аукциона: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Муниципальное казенное учреждение «Хозяйственное управление» (МКУ «Хозяйственное управление»,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ИНН 1101173202, КПП 110101001, ОГРН 1221100000076, тел.: 8 (8212) 29-42-10, e-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mail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: </w:t>
            </w:r>
            <w:r>
              <w:rPr>
                <w:rStyle w:val="Style_4_ch"/>
                <w:rFonts w:ascii="Times New Roman" w:hAnsi="Times New Roman"/>
                <w:sz w:val="20"/>
                <w:highlight w:val="white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20"/>
                <w:highlight w:val="white"/>
              </w:rPr>
              <w:instrText>HYPERLINK "mailto:hozy@list.ru"</w:instrText>
            </w:r>
            <w:r>
              <w:rPr>
                <w:rStyle w:val="Style_4_ch"/>
                <w:rFonts w:ascii="Times New Roman" w:hAnsi="Times New Roman"/>
                <w:sz w:val="20"/>
                <w:highlight w:val="white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20"/>
                <w:highlight w:val="white"/>
              </w:rPr>
              <w:t>hozy@list.ru</w:t>
            </w:r>
            <w:r>
              <w:rPr>
                <w:rStyle w:val="Style_4_ch"/>
                <w:rFonts w:ascii="Times New Roman" w:hAnsi="Times New Roman"/>
                <w:sz w:val="20"/>
                <w:highlight w:val="whit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).</w:t>
            </w:r>
          </w:p>
          <w:p w14:paraId="33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 xml:space="preserve">Номер извещения 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 xml:space="preserve"> ГИС ТОРГИ - 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instrText>HYPERLINK "http://www.torgi.gov.ru/"</w:instrTex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www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torgi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gov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t>ru</w:t>
            </w:r>
            <w:r>
              <w:rPr>
                <w:rFonts w:ascii="Times New Roman" w:hAnsi="Times New Roman"/>
                <w:b w:val="1"/>
                <w:color w:val="000000"/>
                <w:sz w:val="20"/>
                <w:highlight w:val="white"/>
              </w:rPr>
              <w:fldChar w:fldCharType="end"/>
            </w:r>
            <w:r>
              <w:rPr>
                <w:rFonts w:ascii="Times New Roman" w:hAnsi="Times New Roman"/>
                <w:b w:val="1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№ 22000071710000000001</w:t>
            </w:r>
          </w:p>
          <w:p w14:paraId="34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Здание закреплено за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МКУ «Хозяйственное управление»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на праве оперативного управления (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государственная регистрация от 10.06.2025 № 11:05:0107004:444-11/053/2025-5).</w:t>
            </w:r>
          </w:p>
          <w:p w14:paraId="35000000">
            <w:pPr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Осмотр здания (прилегающего земельного участка) осуществляется заинтересованными лицами (потенциальными участниками аукциона) путем личного посещения объекта.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МКУ «Хозяйственное управление»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обеспечивает доступ к объекту и организует проведение осмотра бесплатно на основании письменного запроса заявителя. Осмотр проводится в рабочие дни с 09:00 до 12:00 и с 14:00 до 16:00 (время московское) по предварительному согласованию времени с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МКУ «Хозяйственное управление» (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 (8212) 29-42-10, e-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mail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: hozy@list.ru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).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Направление фото- или видеоматериалов взамен личного осмотра не предусмотрено.</w:t>
            </w:r>
          </w:p>
          <w:p w14:paraId="36000000">
            <w:pPr>
              <w:widowControl w:val="0"/>
              <w:tabs>
                <w:tab w:leader="none" w:pos="14341" w:val="left"/>
              </w:tabs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  <w:p w14:paraId="37000000">
            <w:pPr>
              <w:widowControl w:val="0"/>
              <w:tabs>
                <w:tab w:leader="none" w:pos="14341" w:val="left"/>
              </w:tabs>
              <w:spacing w:after="0" w:line="240" w:lineRule="auto"/>
              <w:ind w:right="-113"/>
              <w:jc w:val="both"/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Полный текст извещения о проведении аукциона с приложением аукционной документации (включая форму заявки на участие в аукционе, проект договора аренды нежилого здания, проект договора аренды земельного участка,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highlight w:val="white"/>
              </w:rPr>
              <w:t xml:space="preserve">на котором расположено нежилое здание, технический паспорт здания, выписки из ЕГРН, фотографии технического состояния здания)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размещен на официальном сайте Российской Федерации для размещения информации о проведении торгов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ГИС ТОРГИ - </w:t>
            </w:r>
            <w:bookmarkStart w:id="2" w:name="_Hlk116643124"/>
            <w:bookmarkStart w:id="3" w:name="_Hlk116653885"/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instrText>HYPERLINK "http://www.torgi.gov.ru/"</w:instrTex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www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torgi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gov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ru</w:t>
            </w:r>
            <w:bookmarkEnd w:id="2"/>
            <w:bookmarkEnd w:id="3"/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(ИНН организатора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1101173202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),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электронной площадке АО «Сбербанк - АСТ» - </w:t>
            </w:r>
            <w:bookmarkStart w:id="4" w:name="_Hlk1749755501"/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instrText>HYPERLINK "http://www.sberbank-ast.ru/"</w:instrTex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www.sberbank-ast.ru</w:t>
            </w:r>
            <w:bookmarkEnd w:id="4"/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, </w:t>
            </w:r>
            <w:r>
              <w:rPr>
                <w:rStyle w:val="Style_5_ch"/>
                <w:rFonts w:ascii="Times New Roman" w:hAnsi="Times New Roman"/>
                <w:color w:val="000000"/>
                <w:sz w:val="20"/>
                <w:highlight w:val="white"/>
                <w:u w:val="none"/>
              </w:rPr>
              <w:t>официальном сайте администрации МО ГО «Сыктывкар» в сети «Интернет» (</w:t>
            </w:r>
            <w:r>
              <w:rPr>
                <w:rStyle w:val="Style_5_ch"/>
                <w:rFonts w:ascii="Times New Roman" w:hAnsi="Times New Roman"/>
                <w:color w:val="000000"/>
                <w:sz w:val="20"/>
                <w:highlight w:val="white"/>
                <w:u w:val="none"/>
              </w:rPr>
              <w:t>сыктывкар</w:t>
            </w:r>
            <w:r>
              <w:rPr>
                <w:rStyle w:val="Style_5_ch"/>
                <w:rFonts w:ascii="Times New Roman" w:hAnsi="Times New Roman"/>
                <w:color w:val="000000"/>
                <w:sz w:val="20"/>
                <w:highlight w:val="white"/>
                <w:u w:val="none"/>
              </w:rPr>
              <w:t>.р</w:t>
            </w:r>
            <w:r>
              <w:rPr>
                <w:rStyle w:val="Style_5_ch"/>
                <w:rFonts w:ascii="Times New Roman" w:hAnsi="Times New Roman"/>
                <w:color w:val="000000"/>
                <w:sz w:val="20"/>
                <w:highlight w:val="white"/>
                <w:u w:val="none"/>
              </w:rPr>
              <w:t>ф</w:t>
            </w:r>
            <w:r>
              <w:rPr>
                <w:rStyle w:val="Style_5_ch"/>
                <w:rFonts w:ascii="Times New Roman" w:hAnsi="Times New Roman"/>
                <w:color w:val="000000"/>
                <w:sz w:val="20"/>
                <w:highlight w:val="white"/>
                <w:u w:val="none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на странице МКУ «Хозяйственное управление»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(вкладка «Аренда», в левом нижнем углу). </w:t>
            </w:r>
          </w:p>
        </w:tc>
        <w:tc>
          <w:tcPr>
            <w:tcW w:type="dxa" w:w="22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8000000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14:paraId="39000000">
      <w:pPr>
        <w:rPr>
          <w:color w:val="000000"/>
        </w:rPr>
      </w:pPr>
    </w:p>
    <w:sectPr>
      <w:pgSz w:h="11906" w:orient="landscape" w:w="16838"/>
      <w:pgMar w:bottom="850" w:footer="0" w:gutter="0" w:header="0" w:left="1134" w:right="1134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160" w:line="264" w:lineRule="auto"/>
      <w:ind/>
    </w:pPr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3" w:type="paragraph">
    <w:name w:val="Обычный1"/>
    <w:link w:val="Style_3_ch"/>
    <w:pPr>
      <w:widowControl w:val="0"/>
      <w:spacing w:line="276" w:lineRule="auto"/>
      <w:ind/>
    </w:pPr>
    <w:rPr>
      <w:rFonts w:ascii="Times New Roman" w:hAnsi="Times New Roman"/>
    </w:rPr>
  </w:style>
  <w:style w:styleId="Style_3_ch" w:type="character">
    <w:name w:val="Обычный1"/>
    <w:link w:val="Style_3"/>
    <w:rPr>
      <w:rFonts w:ascii="Times New Roman" w:hAnsi="Times New Roman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5" w:type="paragraph">
    <w:name w:val="Интернет-ссылка"/>
    <w:link w:val="Style_5_ch"/>
    <w:rPr>
      <w:color w:val="000080"/>
      <w:u w:val="single"/>
    </w:rPr>
  </w:style>
  <w:style w:styleId="Style_5_ch" w:type="character">
    <w:name w:val="Интернет-ссылка"/>
    <w:link w:val="Style_5"/>
    <w:rPr>
      <w:color w:val="000080"/>
      <w:u w:val="single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oter"/>
    <w:basedOn w:val="Style_6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6_ch"/>
    <w:link w:val="Style_11"/>
  </w:style>
  <w:style w:styleId="Style_12" w:type="paragraph">
    <w:name w:val="header"/>
    <w:basedOn w:val="Style_6"/>
    <w:link w:val="Style_1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6_ch"/>
    <w:link w:val="Style_12"/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aption"/>
    <w:basedOn w:val="Style_6"/>
    <w:link w:val="Style_14_ch"/>
    <w:pPr>
      <w:spacing w:after="120" w:before="120"/>
      <w:ind/>
    </w:pPr>
    <w:rPr>
      <w:i w:val="1"/>
      <w:sz w:val="24"/>
    </w:rPr>
  </w:style>
  <w:style w:styleId="Style_14_ch" w:type="character">
    <w:name w:val="caption"/>
    <w:basedOn w:val="Style_6_ch"/>
    <w:link w:val="Style_14"/>
    <w:rPr>
      <w:i w:val="1"/>
      <w:sz w:val="24"/>
    </w:rPr>
  </w:style>
  <w:style w:styleId="Style_15" w:type="paragraph">
    <w:name w:val="Заголовок таблицы"/>
    <w:basedOn w:val="Style_16"/>
    <w:link w:val="Style_15_ch"/>
    <w:pPr>
      <w:ind/>
      <w:jc w:val="center"/>
    </w:pPr>
    <w:rPr>
      <w:b w:val="1"/>
    </w:rPr>
  </w:style>
  <w:style w:styleId="Style_15_ch" w:type="character">
    <w:name w:val="Заголовок таблицы"/>
    <w:basedOn w:val="Style_16_ch"/>
    <w:link w:val="Style_15"/>
    <w:rPr>
      <w:b w:val="1"/>
    </w:rPr>
  </w:style>
  <w:style w:styleId="Style_17" w:type="paragraph">
    <w:name w:val="ConsPlusNormal"/>
    <w:link w:val="Style_17_ch"/>
    <w:pPr>
      <w:widowControl w:val="0"/>
      <w:spacing w:line="276" w:lineRule="auto"/>
      <w:ind w:firstLine="720" w:left="0"/>
    </w:pPr>
    <w:rPr>
      <w:rFonts w:ascii="Arial" w:hAnsi="Arial"/>
    </w:rPr>
  </w:style>
  <w:style w:styleId="Style_17_ch" w:type="character">
    <w:name w:val="ConsPlusNormal"/>
    <w:link w:val="Style_17"/>
    <w:rPr>
      <w:rFonts w:ascii="Arial" w:hAnsi="Arial"/>
    </w:rPr>
  </w:style>
  <w:style w:styleId="Style_18" w:type="paragraph">
    <w:name w:val="ConsPlusNonformat"/>
    <w:link w:val="Style_18_ch"/>
    <w:pPr>
      <w:widowControl w:val="0"/>
      <w:spacing w:line="276" w:lineRule="auto"/>
      <w:ind/>
    </w:pPr>
    <w:rPr>
      <w:rFonts w:ascii="Courier New" w:hAnsi="Courier New"/>
    </w:rPr>
  </w:style>
  <w:style w:styleId="Style_18_ch" w:type="character">
    <w:name w:val="ConsPlusNonformat"/>
    <w:link w:val="Style_18"/>
    <w:rPr>
      <w:rFonts w:ascii="Courier New" w:hAnsi="Courier New"/>
    </w:rPr>
  </w:style>
  <w:style w:styleId="Style_19" w:type="paragraph">
    <w:name w:val="List"/>
    <w:basedOn w:val="Style_1"/>
    <w:link w:val="Style_19_ch"/>
  </w:style>
  <w:style w:styleId="Style_19_ch" w:type="character">
    <w:name w:val="List"/>
    <w:basedOn w:val="Style_1_ch"/>
    <w:link w:val="Style_19"/>
  </w:style>
  <w:style w:styleId="Style_20" w:type="paragraph">
    <w:name w:val="toc 3"/>
    <w:next w:val="Style_6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Заголовок"/>
    <w:basedOn w:val="Style_6"/>
    <w:next w:val="Style_1"/>
    <w:link w:val="Style_21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"/>
    <w:basedOn w:val="Style_6_ch"/>
    <w:link w:val="Style_21"/>
    <w:rPr>
      <w:rFonts w:ascii="Liberation Sans" w:hAnsi="Liberation Sans"/>
      <w:sz w:val="28"/>
    </w:rPr>
  </w:style>
  <w:style w:styleId="Style_22" w:type="paragraph">
    <w:name w:val="heading 5"/>
    <w:next w:val="Style_6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6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4" w:type="paragraph">
    <w:name w:val="Hyperlink"/>
    <w:basedOn w:val="Style_24"/>
    <w:link w:val="Style_4_ch"/>
    <w:rPr>
      <w:color w:themeColor="hyperlink" w:val="0000FF"/>
      <w:u w:val="single"/>
    </w:rPr>
  </w:style>
  <w:style w:styleId="Style_4_ch" w:type="character">
    <w:name w:val="Hyperlink"/>
    <w:basedOn w:val="Style_24_ch"/>
    <w:link w:val="Style_4"/>
    <w:rPr>
      <w:color w:themeColor="hyperlink"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Верхний и нижний колонтитулы"/>
    <w:basedOn w:val="Style_6"/>
    <w:link w:val="Style_26_ch"/>
  </w:style>
  <w:style w:styleId="Style_26_ch" w:type="character">
    <w:name w:val="Верхний и нижний колонтитулы"/>
    <w:basedOn w:val="Style_6_ch"/>
    <w:link w:val="Style_26"/>
  </w:style>
  <w:style w:styleId="Style_27" w:type="paragraph">
    <w:name w:val="toc 1"/>
    <w:next w:val="Style_6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toc 9"/>
    <w:next w:val="Style_6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Выделение жирным"/>
    <w:link w:val="Style_30_ch"/>
    <w:rPr>
      <w:b w:val="1"/>
    </w:rPr>
  </w:style>
  <w:style w:styleId="Style_30_ch" w:type="character">
    <w:name w:val="Выделение жирным"/>
    <w:link w:val="Style_30"/>
    <w:rPr>
      <w:b w:val="1"/>
    </w:rPr>
  </w:style>
  <w:style w:styleId="Style_31" w:type="paragraph">
    <w:name w:val="toc 8"/>
    <w:next w:val="Style_6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spacing w:after="140" w:line="276" w:lineRule="auto"/>
      <w:ind/>
    </w:pPr>
  </w:style>
  <w:style w:styleId="Style_1_ch" w:type="character">
    <w:name w:val="Body Text"/>
    <w:basedOn w:val="Style_6_ch"/>
    <w:link w:val="Style_1"/>
  </w:style>
  <w:style w:styleId="Style_32" w:type="paragraph">
    <w:name w:val="index heading"/>
    <w:basedOn w:val="Style_6"/>
    <w:link w:val="Style_32_ch"/>
  </w:style>
  <w:style w:styleId="Style_32_ch" w:type="character">
    <w:name w:val="index heading"/>
    <w:basedOn w:val="Style_6_ch"/>
    <w:link w:val="Style_32"/>
  </w:style>
  <w:style w:styleId="Style_33" w:type="paragraph">
    <w:name w:val="Верхний колонтитул Знак"/>
    <w:basedOn w:val="Style_24"/>
    <w:link w:val="Style_33_ch"/>
  </w:style>
  <w:style w:styleId="Style_33_ch" w:type="character">
    <w:name w:val="Верхний колонтитул Знак"/>
    <w:basedOn w:val="Style_24_ch"/>
    <w:link w:val="Style_33"/>
  </w:style>
  <w:style w:styleId="Style_34" w:type="paragraph">
    <w:name w:val="toc 5"/>
    <w:next w:val="Style_6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35" w:type="paragraph">
    <w:name w:val="Нижний колонтитул Знак"/>
    <w:basedOn w:val="Style_24"/>
    <w:link w:val="Style_35_ch"/>
  </w:style>
  <w:style w:styleId="Style_35_ch" w:type="character">
    <w:name w:val="Нижний колонтитул Знак"/>
    <w:basedOn w:val="Style_24_ch"/>
    <w:link w:val="Style_35"/>
  </w:style>
  <w:style w:styleId="Style_36" w:type="paragraph">
    <w:name w:val="Subtitle"/>
    <w:next w:val="Style_6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6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6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16" w:type="paragraph">
    <w:name w:val="Содержимое таблицы"/>
    <w:basedOn w:val="Style_6"/>
    <w:link w:val="Style_16_ch"/>
  </w:style>
  <w:style w:styleId="Style_16_ch" w:type="character">
    <w:name w:val="Содержимое таблицы"/>
    <w:basedOn w:val="Style_6_ch"/>
    <w:link w:val="Style_16"/>
  </w:style>
  <w:style w:styleId="Style_39" w:type="paragraph">
    <w:name w:val="heading 2"/>
    <w:next w:val="Style_6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4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2026-09-16T06:15:08Z</dcterms:modified>
</cp:coreProperties>
</file>